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华文楷体" w:hAnsi="华文楷体" w:eastAsia="华文楷体" w:cs="楷体"/>
          <w:b/>
          <w:bCs/>
          <w:sz w:val="44"/>
          <w:szCs w:val="44"/>
        </w:rPr>
      </w:pPr>
      <w:r>
        <w:rPr>
          <w:rFonts w:hint="eastAsia" w:ascii="华文楷体" w:hAnsi="华文楷体" w:eastAsia="华文楷体" w:cs="楷体"/>
          <w:b/>
          <w:bCs/>
          <w:sz w:val="44"/>
          <w:szCs w:val="44"/>
        </w:rPr>
        <w:t>川南幼儿师范高等专科</w:t>
      </w:r>
      <w:r>
        <w:rPr>
          <w:rFonts w:ascii="华文楷体" w:hAnsi="华文楷体" w:eastAsia="华文楷体" w:cs="楷体"/>
          <w:b/>
          <w:bCs/>
          <w:sz w:val="44"/>
          <w:szCs w:val="44"/>
        </w:rPr>
        <w:t>学校</w:t>
      </w:r>
      <w:r>
        <w:rPr>
          <w:rFonts w:hint="eastAsia" w:ascii="华文楷体" w:hAnsi="华文楷体" w:eastAsia="华文楷体" w:cs="楷体"/>
          <w:b/>
          <w:bCs/>
          <w:sz w:val="44"/>
          <w:szCs w:val="44"/>
        </w:rPr>
        <w:t>2021年</w:t>
      </w:r>
      <w:r>
        <w:rPr>
          <w:rFonts w:ascii="华文楷体" w:hAnsi="华文楷体" w:eastAsia="华文楷体" w:cs="楷体"/>
          <w:b/>
          <w:bCs/>
          <w:sz w:val="44"/>
          <w:szCs w:val="44"/>
        </w:rPr>
        <w:t>单独招生考试</w:t>
      </w:r>
      <w:r>
        <w:rPr>
          <w:rFonts w:hint="eastAsia" w:ascii="华文楷体" w:hAnsi="华文楷体" w:eastAsia="华文楷体" w:cs="楷体"/>
          <w:b/>
          <w:bCs/>
          <w:sz w:val="44"/>
          <w:szCs w:val="44"/>
        </w:rPr>
        <w:t>学前教育/早期教育</w:t>
      </w:r>
      <w:r>
        <w:rPr>
          <w:rFonts w:ascii="华文楷体" w:hAnsi="华文楷体" w:eastAsia="华文楷体" w:cs="楷体"/>
          <w:b/>
          <w:bCs/>
          <w:sz w:val="44"/>
          <w:szCs w:val="44"/>
        </w:rPr>
        <w:t>专业技能综合测试方案</w:t>
      </w:r>
    </w:p>
    <w:p>
      <w:pPr>
        <w:spacing w:line="560" w:lineRule="exact"/>
        <w:jc w:val="center"/>
        <w:rPr>
          <w:rFonts w:ascii="华文楷体" w:hAnsi="华文楷体" w:eastAsia="华文楷体" w:cs="楷体"/>
          <w:b/>
          <w:bCs/>
          <w:sz w:val="44"/>
          <w:szCs w:val="44"/>
        </w:rPr>
      </w:pPr>
    </w:p>
    <w:p>
      <w:pPr>
        <w:spacing w:after="156" w:afterLines="50" w:line="560" w:lineRule="exact"/>
        <w:rPr>
          <w:rFonts w:ascii="楷体" w:hAnsi="楷体" w:eastAsia="楷体"/>
          <w:b/>
          <w:bCs/>
          <w:sz w:val="32"/>
          <w:szCs w:val="32"/>
        </w:rPr>
      </w:pPr>
      <w:r>
        <w:rPr>
          <w:rFonts w:hint="eastAsia" w:ascii="楷体" w:hAnsi="楷体" w:eastAsia="楷体"/>
          <w:b/>
          <w:bCs/>
          <w:sz w:val="32"/>
          <w:szCs w:val="32"/>
        </w:rPr>
        <w:t>一、适用专业</w:t>
      </w:r>
    </w:p>
    <w:p>
      <w:pPr>
        <w:widowControl/>
        <w:spacing w:after="156" w:afterLines="5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学前教育专业、早期教育专业</w:t>
      </w:r>
    </w:p>
    <w:p>
      <w:pPr>
        <w:spacing w:after="156" w:afterLines="50" w:line="560" w:lineRule="exact"/>
        <w:rPr>
          <w:rFonts w:ascii="仿宋" w:hAnsi="仿宋" w:eastAsia="仿宋" w:cs="仿宋"/>
          <w:sz w:val="32"/>
          <w:szCs w:val="32"/>
        </w:rPr>
      </w:pPr>
      <w:r>
        <w:rPr>
          <w:rFonts w:hint="eastAsia" w:ascii="楷体" w:hAnsi="楷体" w:eastAsia="楷体"/>
          <w:b/>
          <w:bCs/>
          <w:sz w:val="32"/>
          <w:szCs w:val="32"/>
        </w:rPr>
        <w:t>二、面试目的</w:t>
      </w:r>
      <w:r>
        <w:rPr>
          <w:rFonts w:hint="eastAsia" w:ascii="仿宋" w:hAnsi="仿宋" w:eastAsia="仿宋" w:cs="仿宋"/>
          <w:sz w:val="32"/>
          <w:szCs w:val="32"/>
        </w:rPr>
        <w:t xml:space="preserve">    </w:t>
      </w:r>
    </w:p>
    <w:p>
      <w:pPr>
        <w:widowControl/>
        <w:spacing w:after="156" w:afterLines="50"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面向普通高中毕业生、中等职业技术学校对口高职的考生。此考试为单招考试的组成部分，适用于对口高职学前教育、早期教育专业人才的选拔。</w:t>
      </w:r>
    </w:p>
    <w:p>
      <w:pPr>
        <w:spacing w:after="156" w:afterLines="50" w:line="560" w:lineRule="exact"/>
        <w:rPr>
          <w:rFonts w:ascii="楷体" w:hAnsi="楷体" w:eastAsia="楷体"/>
          <w:b/>
          <w:bCs/>
          <w:sz w:val="32"/>
          <w:szCs w:val="32"/>
        </w:rPr>
      </w:pPr>
      <w:r>
        <w:rPr>
          <w:rFonts w:hint="eastAsia" w:ascii="楷体" w:hAnsi="楷体" w:eastAsia="楷体"/>
          <w:b/>
          <w:bCs/>
          <w:sz w:val="32"/>
          <w:szCs w:val="32"/>
        </w:rPr>
        <w:t>三、面试依据</w:t>
      </w:r>
    </w:p>
    <w:p>
      <w:pPr>
        <w:widowControl/>
        <w:spacing w:line="560" w:lineRule="exact"/>
        <w:ind w:firstLine="640" w:firstLineChars="200"/>
        <w:jc w:val="left"/>
        <w:textAlignment w:val="baseline"/>
        <w:rPr>
          <w:rFonts w:ascii="仿宋" w:hAnsi="仿宋" w:eastAsia="仿宋" w:cs="仿宋"/>
          <w:sz w:val="32"/>
          <w:szCs w:val="32"/>
        </w:rPr>
      </w:pPr>
      <w:r>
        <w:rPr>
          <w:rFonts w:hint="eastAsia" w:ascii="仿宋" w:hAnsi="仿宋" w:eastAsia="仿宋" w:cs="仿宋"/>
          <w:sz w:val="32"/>
          <w:szCs w:val="32"/>
        </w:rPr>
        <w:t>依据《四川省人民政府关于印发四川省深化考试招生制度改革实施方案的通知》（川府发〔2016〕20号）》《川南幼儿师范高等专科学校202</w:t>
      </w:r>
      <w:r>
        <w:rPr>
          <w:rFonts w:hint="eastAsia" w:ascii="仿宋" w:hAnsi="仿宋" w:eastAsia="仿宋" w:cs="仿宋"/>
          <w:sz w:val="32"/>
          <w:szCs w:val="32"/>
          <w:lang w:val="en-US" w:eastAsia="zh-CN"/>
        </w:rPr>
        <w:t>1</w:t>
      </w:r>
      <w:r>
        <w:rPr>
          <w:rFonts w:hint="eastAsia" w:ascii="仿宋" w:hAnsi="仿宋" w:eastAsia="仿宋" w:cs="仿宋"/>
          <w:sz w:val="32"/>
          <w:szCs w:val="32"/>
        </w:rPr>
        <w:t>年单独招生章程》等</w:t>
      </w:r>
      <w:bookmarkStart w:id="0" w:name="_GoBack"/>
      <w:bookmarkEnd w:id="0"/>
      <w:r>
        <w:rPr>
          <w:rFonts w:hint="eastAsia" w:ascii="仿宋" w:hAnsi="仿宋" w:eastAsia="仿宋" w:cs="仿宋"/>
          <w:sz w:val="32"/>
          <w:szCs w:val="32"/>
        </w:rPr>
        <w:t>文件精神，结合普通高中和中等职业学校教学及生源实际，主要考核考生的专业认知能力和专业技能水平。</w:t>
      </w:r>
    </w:p>
    <w:p>
      <w:pPr>
        <w:spacing w:after="156" w:afterLines="50" w:line="560" w:lineRule="exact"/>
        <w:rPr>
          <w:rFonts w:ascii="楷体" w:hAnsi="楷体" w:eastAsia="楷体"/>
          <w:b/>
          <w:bCs/>
          <w:sz w:val="32"/>
          <w:szCs w:val="32"/>
        </w:rPr>
      </w:pPr>
      <w:r>
        <w:rPr>
          <w:rFonts w:hint="eastAsia" w:ascii="楷体" w:hAnsi="楷体" w:eastAsia="楷体"/>
          <w:b/>
          <w:bCs/>
          <w:sz w:val="32"/>
          <w:szCs w:val="32"/>
        </w:rPr>
        <w:t>四、面试内容及要求</w:t>
      </w:r>
    </w:p>
    <w:tbl>
      <w:tblPr>
        <w:tblStyle w:val="5"/>
        <w:tblW w:w="9778" w:type="dxa"/>
        <w:tblInd w:w="0" w:type="dxa"/>
        <w:shd w:val="clear" w:color="auto" w:fill="FFFFFF" w:themeFill="background1"/>
        <w:tblLayout w:type="fixed"/>
        <w:tblCellMar>
          <w:top w:w="0" w:type="dxa"/>
          <w:left w:w="0" w:type="dxa"/>
          <w:bottom w:w="0" w:type="dxa"/>
          <w:right w:w="0" w:type="dxa"/>
        </w:tblCellMar>
      </w:tblPr>
      <w:tblGrid>
        <w:gridCol w:w="703"/>
        <w:gridCol w:w="664"/>
        <w:gridCol w:w="390"/>
        <w:gridCol w:w="581"/>
        <w:gridCol w:w="750"/>
        <w:gridCol w:w="4740"/>
        <w:gridCol w:w="720"/>
        <w:gridCol w:w="630"/>
        <w:gridCol w:w="600"/>
      </w:tblGrid>
      <w:tr>
        <w:tblPrEx>
          <w:shd w:val="clear" w:color="auto" w:fill="FFFFFF" w:themeFill="background1"/>
          <w:tblCellMar>
            <w:top w:w="0" w:type="dxa"/>
            <w:left w:w="0" w:type="dxa"/>
            <w:bottom w:w="0" w:type="dxa"/>
            <w:right w:w="0" w:type="dxa"/>
          </w:tblCellMar>
        </w:tblPrEx>
        <w:trPr>
          <w:trHeight w:val="90" w:hRule="atLeast"/>
        </w:trPr>
        <w:tc>
          <w:tcPr>
            <w:tcW w:w="70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考生类别</w:t>
            </w:r>
          </w:p>
        </w:tc>
        <w:tc>
          <w:tcPr>
            <w:tcW w:w="66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面试模块</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面试</w:t>
            </w: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形式</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面试</w:t>
            </w: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内容</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面试要求</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面试</w:t>
            </w: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时间</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kern w:val="0"/>
                <w:sz w:val="24"/>
                <w:lang w:bidi="ar"/>
              </w:rPr>
            </w:pPr>
            <w:r>
              <w:rPr>
                <w:rFonts w:hint="eastAsia" w:ascii="仿宋" w:hAnsi="仿宋" w:eastAsia="仿宋" w:cs="仿宋"/>
                <w:b/>
                <w:color w:val="000000"/>
                <w:kern w:val="0"/>
                <w:sz w:val="24"/>
                <w:lang w:bidi="ar"/>
              </w:rPr>
              <w:t>面试</w:t>
            </w:r>
          </w:p>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分值</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b/>
                <w:color w:val="000000"/>
                <w:sz w:val="24"/>
              </w:rPr>
            </w:pPr>
            <w:r>
              <w:rPr>
                <w:rFonts w:hint="eastAsia" w:ascii="仿宋" w:hAnsi="仿宋" w:eastAsia="仿宋" w:cs="仿宋"/>
                <w:b/>
                <w:color w:val="000000"/>
                <w:kern w:val="0"/>
                <w:sz w:val="24"/>
                <w:lang w:bidi="ar"/>
              </w:rPr>
              <w:t>所占比重</w:t>
            </w:r>
          </w:p>
        </w:tc>
      </w:tr>
      <w:tr>
        <w:tblPrEx>
          <w:tblCellMar>
            <w:top w:w="0" w:type="dxa"/>
            <w:left w:w="0" w:type="dxa"/>
            <w:bottom w:w="0" w:type="dxa"/>
            <w:right w:w="0" w:type="dxa"/>
          </w:tblCellMar>
        </w:tblPrEx>
        <w:trPr>
          <w:trHeight w:val="1495" w:hRule="atLeast"/>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普</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高</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考</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生</w:t>
            </w: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kern w:val="0"/>
                <w:sz w:val="24"/>
                <w:lang w:bidi="ar"/>
              </w:rPr>
            </w:pPr>
          </w:p>
          <w:p>
            <w:pPr>
              <w:widowControl/>
              <w:jc w:val="center"/>
              <w:textAlignment w:val="center"/>
              <w:rPr>
                <w:rFonts w:ascii="仿宋" w:hAnsi="仿宋" w:eastAsia="仿宋" w:cs="仿宋"/>
                <w:color w:val="000000"/>
                <w:sz w:val="24"/>
              </w:rPr>
            </w:pPr>
          </w:p>
        </w:tc>
        <w:tc>
          <w:tcPr>
            <w:tcW w:w="66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思想</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现场</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问答</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职业认</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知题目</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2项</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考核对学前（早期）教育专业的理解与作为幼儿教师的职业意识，以及逻辑思维能力，心理素质等，从大方自然，能清楚表达自己的看法、观点正确，求学意识强等方面进行综合评价。</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2分钟</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tblPrEx>
          <w:tblCellMar>
            <w:top w:w="0" w:type="dxa"/>
            <w:left w:w="0" w:type="dxa"/>
            <w:bottom w:w="0" w:type="dxa"/>
            <w:right w:w="0" w:type="dxa"/>
          </w:tblCellMar>
        </w:tblPrEx>
        <w:trPr>
          <w:trHeight w:val="1715"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综合</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素质</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现场</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测试</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普通话</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水平</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测试</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体态大方，精神饱满，着装得体，语音面貌良好，普通话流利，能规范清晰地朗读短文，自然流畅地进行即兴说话；朗读材料和说话题目选自四川省语委《普通话水平测试实用教程》。</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2分钟</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tblPrEx>
          <w:tblCellMar>
            <w:top w:w="0" w:type="dxa"/>
            <w:left w:w="0" w:type="dxa"/>
            <w:bottom w:w="0" w:type="dxa"/>
            <w:right w:w="0" w:type="dxa"/>
          </w:tblCellMar>
        </w:tblPrEx>
        <w:trPr>
          <w:trHeight w:val="3298"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才艺</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展示</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唱歌、跳舞、乐器、或其他才艺等，自选一项才艺进行现场展示</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唱歌：自选一首歌曲片段清唱，从歌曲演唱音准、节奏、咬字、吐字、音质、演唱技巧和音乐表现力等方面予以综合评分。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跳舞：舞蹈种类不限，从舞蹈的动作、基本功、舞蹈风格、流畅连贯性、完整性、表现力方面给予综合评分。（可自备伴奏音乐和舞蹈服装）</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乐器：种类不限（除钢琴外需自备乐器），从音准、节奏和音乐表现力等方面予以综合评分。</w:t>
            </w:r>
            <w:r>
              <w:rPr>
                <w:rFonts w:hint="eastAsia" w:ascii="仿宋" w:hAnsi="仿宋" w:eastAsia="仿宋" w:cs="仿宋"/>
                <w:color w:val="000000"/>
                <w:kern w:val="0"/>
                <w:sz w:val="24"/>
                <w:lang w:bidi="ar"/>
              </w:rPr>
              <w:br w:type="textWrapping"/>
            </w:r>
            <w:r>
              <w:rPr>
                <w:rFonts w:hint="eastAsia" w:ascii="仿宋" w:hAnsi="仿宋" w:eastAsia="仿宋" w:cs="仿宋"/>
                <w:color w:val="000000"/>
                <w:kern w:val="0"/>
                <w:sz w:val="24"/>
                <w:lang w:bidi="ar"/>
              </w:rPr>
              <w:t xml:space="preserve">    其他：如书法、绘画、相声、小品、健美操等（题材不限），从技能技巧、表现力等方面予以综合评分。</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2分钟</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r>
      <w:tr>
        <w:tblPrEx>
          <w:tblCellMar>
            <w:top w:w="0" w:type="dxa"/>
            <w:left w:w="0" w:type="dxa"/>
            <w:bottom w:w="0" w:type="dxa"/>
            <w:right w:w="0" w:type="dxa"/>
          </w:tblCellMar>
        </w:tblPrEx>
        <w:trPr>
          <w:trHeight w:val="315" w:hRule="atLeast"/>
        </w:trPr>
        <w:tc>
          <w:tcPr>
            <w:tcW w:w="854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  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200分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100%</w:t>
            </w:r>
          </w:p>
        </w:tc>
      </w:tr>
      <w:tr>
        <w:tblPrEx>
          <w:tblCellMar>
            <w:top w:w="0" w:type="dxa"/>
            <w:left w:w="0" w:type="dxa"/>
            <w:bottom w:w="0" w:type="dxa"/>
            <w:right w:w="0" w:type="dxa"/>
          </w:tblCellMar>
        </w:tblPrEx>
        <w:trPr>
          <w:trHeight w:val="1691" w:hRule="atLeast"/>
        </w:trPr>
        <w:tc>
          <w:tcPr>
            <w:tcW w:w="703"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中</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考</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生</w:t>
            </w:r>
          </w:p>
        </w:tc>
        <w:tc>
          <w:tcPr>
            <w:tcW w:w="664"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专业</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思想</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现场</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问答</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职业认</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知题目</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2项</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考核对学前（早期）教育专业的理解与作为幼儿教师的职业意识，以及逻辑思维能力，心理素质等，从大方自然，能清楚表达自己的看法、观点正确，求学意识强等方面进行综合评价。</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2分钟</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tblPrEx>
          <w:tblCellMar>
            <w:top w:w="0" w:type="dxa"/>
            <w:left w:w="0" w:type="dxa"/>
            <w:bottom w:w="0" w:type="dxa"/>
            <w:right w:w="0" w:type="dxa"/>
          </w:tblCellMar>
        </w:tblPrEx>
        <w:trPr>
          <w:trHeight w:val="1645"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专</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业</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技</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能</w:t>
            </w:r>
          </w:p>
        </w:tc>
        <w:tc>
          <w:tcPr>
            <w:tcW w:w="971" w:type="dxa"/>
            <w:gridSpan w:val="2"/>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现场</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测试</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普通话</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水平</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测试</w:t>
            </w:r>
          </w:p>
        </w:tc>
        <w:tc>
          <w:tcPr>
            <w:tcW w:w="474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体态大方，精神饱满，着装得体，语音面貌良好，普通话流利，能规范清晰地朗读短文，自然流畅地进行即兴说话；朗读材料和说话题目选自四川省语委《普通话水平测试实用教程》。</w:t>
            </w:r>
          </w:p>
        </w:tc>
        <w:tc>
          <w:tcPr>
            <w:tcW w:w="72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2分钟</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25%</w:t>
            </w:r>
          </w:p>
        </w:tc>
      </w:tr>
      <w:tr>
        <w:tblPrEx>
          <w:tblCellMar>
            <w:top w:w="0" w:type="dxa"/>
            <w:left w:w="0" w:type="dxa"/>
            <w:bottom w:w="0" w:type="dxa"/>
            <w:right w:w="0" w:type="dxa"/>
          </w:tblCellMar>
        </w:tblPrEx>
        <w:trPr>
          <w:trHeight w:val="1700"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39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sz w:val="24"/>
              </w:rPr>
              <w:t>三选一</w:t>
            </w:r>
          </w:p>
        </w:tc>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美术技能</w:t>
            </w:r>
          </w:p>
          <w:p>
            <w:pPr>
              <w:widowControl/>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（集体）</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简笔画</w:t>
            </w:r>
          </w:p>
        </w:tc>
        <w:tc>
          <w:tcPr>
            <w:tcW w:w="4740" w:type="dxa"/>
            <w:tcBorders>
              <w:top w:val="single" w:color="000000"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单个物象，人物、动物、静物、植物每个种类各五个；自带绘画工具，若需要着色，自行准备水彩笔或彩铅，从卷面、构图、形象、绘画语言、造型、线条等进行综合评分</w:t>
            </w:r>
          </w:p>
        </w:tc>
        <w:tc>
          <w:tcPr>
            <w:tcW w:w="720" w:type="dxa"/>
            <w:tcBorders>
              <w:top w:val="single" w:color="000000"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20分钟</w:t>
            </w:r>
          </w:p>
        </w:tc>
        <w:tc>
          <w:tcPr>
            <w:tcW w:w="63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100分</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50%</w:t>
            </w:r>
          </w:p>
        </w:tc>
      </w:tr>
      <w:tr>
        <w:tblPrEx>
          <w:tblCellMar>
            <w:top w:w="0" w:type="dxa"/>
            <w:left w:w="0" w:type="dxa"/>
            <w:bottom w:w="0" w:type="dxa"/>
            <w:right w:w="0" w:type="dxa"/>
          </w:tblCellMar>
        </w:tblPrEx>
        <w:trPr>
          <w:trHeight w:val="2236"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音乐技能</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唱歌</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\乐器</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(二选一）</w:t>
            </w:r>
          </w:p>
        </w:tc>
        <w:tc>
          <w:tcPr>
            <w:tcW w:w="4740" w:type="dxa"/>
            <w:tcBorders>
              <w:top w:val="single" w:color="auto" w:sz="4" w:space="0"/>
              <w:left w:val="single" w:color="000000" w:sz="4" w:space="0"/>
              <w:bottom w:val="single" w:color="auto"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唱歌：考生自选一首歌曲片段清唱，从歌曲演唱音准、节奏、咬字、吐字、音质、演唱技巧和音乐表现力等方面予以综合评分。</w:t>
            </w:r>
          </w:p>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乐器：种类不限（除钢琴外需自备乐器），从音准、节奏和音乐表现力等方面予以综合评分。</w:t>
            </w:r>
          </w:p>
        </w:tc>
        <w:tc>
          <w:tcPr>
            <w:tcW w:w="720" w:type="dxa"/>
            <w:tcBorders>
              <w:top w:val="single" w:color="auto" w:sz="4" w:space="0"/>
              <w:left w:val="single" w:color="000000" w:sz="4" w:space="0"/>
              <w:bottom w:val="single" w:color="auto"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2分钟</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p>
        </w:tc>
      </w:tr>
      <w:tr>
        <w:tblPrEx>
          <w:tblCellMar>
            <w:top w:w="0" w:type="dxa"/>
            <w:left w:w="0" w:type="dxa"/>
            <w:bottom w:w="0" w:type="dxa"/>
            <w:right w:w="0" w:type="dxa"/>
          </w:tblCellMar>
        </w:tblPrEx>
        <w:trPr>
          <w:trHeight w:val="1598" w:hRule="atLeast"/>
        </w:trPr>
        <w:tc>
          <w:tcPr>
            <w:tcW w:w="703"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64"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39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581"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舞蹈技能</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（单人）</w:t>
            </w:r>
          </w:p>
        </w:tc>
        <w:tc>
          <w:tcPr>
            <w:tcW w:w="75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成品</w:t>
            </w:r>
          </w:p>
          <w:p>
            <w:pPr>
              <w:widowControl/>
              <w:jc w:val="center"/>
              <w:textAlignment w:val="center"/>
              <w:rPr>
                <w:rFonts w:ascii="仿宋" w:hAnsi="仿宋" w:eastAsia="仿宋" w:cs="仿宋"/>
                <w:color w:val="000000"/>
                <w:kern w:val="0"/>
                <w:sz w:val="24"/>
                <w:lang w:bidi="ar"/>
              </w:rPr>
            </w:pPr>
            <w:r>
              <w:rPr>
                <w:rFonts w:hint="eastAsia" w:ascii="仿宋" w:hAnsi="仿宋" w:eastAsia="仿宋" w:cs="仿宋"/>
                <w:color w:val="000000"/>
                <w:kern w:val="0"/>
                <w:sz w:val="24"/>
                <w:lang w:bidi="ar"/>
              </w:rPr>
              <w:t>舞蹈</w:t>
            </w:r>
          </w:p>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表演</w:t>
            </w:r>
          </w:p>
        </w:tc>
        <w:tc>
          <w:tcPr>
            <w:tcW w:w="4740" w:type="dxa"/>
            <w:tcBorders>
              <w:top w:val="single" w:color="auto"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ind w:firstLine="480" w:firstLineChars="200"/>
              <w:jc w:val="left"/>
              <w:textAlignment w:val="center"/>
              <w:rPr>
                <w:rFonts w:ascii="仿宋" w:hAnsi="仿宋" w:eastAsia="仿宋" w:cs="仿宋"/>
                <w:color w:val="000000"/>
                <w:sz w:val="24"/>
              </w:rPr>
            </w:pPr>
            <w:r>
              <w:rPr>
                <w:rFonts w:hint="eastAsia" w:ascii="仿宋" w:hAnsi="仿宋" w:eastAsia="仿宋" w:cs="仿宋"/>
                <w:color w:val="000000"/>
                <w:kern w:val="0"/>
                <w:sz w:val="24"/>
                <w:lang w:bidi="ar"/>
              </w:rPr>
              <w:t>舞蹈种类不限，从舞蹈的动作、基本功、舞蹈风格、流畅连贯性、完整性、表现力方面给予综合评分。（可自备伴奏音乐和舞蹈服装）</w:t>
            </w:r>
          </w:p>
        </w:tc>
        <w:tc>
          <w:tcPr>
            <w:tcW w:w="720" w:type="dxa"/>
            <w:tcBorders>
              <w:top w:val="single" w:color="auto"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r>
              <w:rPr>
                <w:rFonts w:hint="eastAsia" w:ascii="仿宋" w:hAnsi="仿宋" w:eastAsia="仿宋" w:cs="仿宋"/>
                <w:color w:val="000000"/>
                <w:sz w:val="24"/>
              </w:rPr>
              <w:t>2分钟</w:t>
            </w:r>
          </w:p>
        </w:tc>
        <w:tc>
          <w:tcPr>
            <w:tcW w:w="63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jc w:val="center"/>
              <w:rPr>
                <w:rFonts w:ascii="仿宋" w:hAnsi="仿宋" w:eastAsia="仿宋" w:cs="仿宋"/>
                <w:color w:val="000000"/>
                <w:sz w:val="24"/>
              </w:rPr>
            </w:pPr>
          </w:p>
        </w:tc>
        <w:tc>
          <w:tcPr>
            <w:tcW w:w="60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jc w:val="center"/>
              <w:rPr>
                <w:rFonts w:ascii="仿宋" w:hAnsi="仿宋" w:eastAsia="仿宋" w:cs="仿宋"/>
                <w:color w:val="000000"/>
                <w:sz w:val="24"/>
              </w:rPr>
            </w:pPr>
          </w:p>
        </w:tc>
      </w:tr>
      <w:tr>
        <w:tblPrEx>
          <w:tblCellMar>
            <w:top w:w="0" w:type="dxa"/>
            <w:left w:w="0" w:type="dxa"/>
            <w:bottom w:w="0" w:type="dxa"/>
            <w:right w:w="0" w:type="dxa"/>
          </w:tblCellMar>
        </w:tblPrEx>
        <w:trPr>
          <w:trHeight w:val="270" w:hRule="atLeast"/>
        </w:trPr>
        <w:tc>
          <w:tcPr>
            <w:tcW w:w="8548" w:type="dxa"/>
            <w:gridSpan w:val="7"/>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总  计</w:t>
            </w:r>
          </w:p>
        </w:tc>
        <w:tc>
          <w:tcPr>
            <w:tcW w:w="63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200分</w:t>
            </w:r>
          </w:p>
        </w:tc>
        <w:tc>
          <w:tcPr>
            <w:tcW w:w="600" w:type="dxa"/>
            <w:tcBorders>
              <w:top w:val="single" w:color="000000" w:sz="4" w:space="0"/>
              <w:left w:val="single" w:color="000000" w:sz="4" w:space="0"/>
              <w:bottom w:val="single" w:color="000000" w:sz="4" w:space="0"/>
              <w:right w:val="single" w:color="000000" w:sz="4" w:space="0"/>
            </w:tcBorders>
            <w:shd w:val="clear" w:color="auto" w:fill="FFFFFF" w:themeFill="background1"/>
            <w:noWrap/>
            <w:tcMar>
              <w:top w:w="15" w:type="dxa"/>
              <w:left w:w="15" w:type="dxa"/>
              <w:right w:w="15" w:type="dxa"/>
            </w:tcMar>
            <w:vAlign w:val="center"/>
          </w:tcPr>
          <w:p>
            <w:pPr>
              <w:widowControl/>
              <w:jc w:val="center"/>
              <w:textAlignment w:val="center"/>
              <w:rPr>
                <w:rFonts w:ascii="仿宋" w:hAnsi="仿宋" w:eastAsia="仿宋" w:cs="仿宋"/>
                <w:color w:val="000000"/>
                <w:sz w:val="24"/>
              </w:rPr>
            </w:pPr>
            <w:r>
              <w:rPr>
                <w:rFonts w:hint="eastAsia" w:ascii="仿宋" w:hAnsi="仿宋" w:eastAsia="仿宋" w:cs="仿宋"/>
                <w:color w:val="000000"/>
                <w:kern w:val="0"/>
                <w:sz w:val="24"/>
                <w:lang w:bidi="ar"/>
              </w:rPr>
              <w:t>100%</w:t>
            </w:r>
          </w:p>
        </w:tc>
      </w:tr>
    </w:tbl>
    <w:p>
      <w:pPr>
        <w:spacing w:line="560" w:lineRule="exact"/>
        <w:jc w:val="center"/>
        <w:rPr>
          <w:rFonts w:ascii="华文楷体" w:hAnsi="华文楷体" w:eastAsia="华文楷体" w:cs="楷体"/>
          <w:b/>
          <w:bCs/>
          <w:sz w:val="44"/>
          <w:szCs w:val="44"/>
        </w:rPr>
      </w:pPr>
    </w:p>
    <w:p>
      <w:pPr>
        <w:spacing w:line="560" w:lineRule="exact"/>
        <w:rPr>
          <w:sz w:val="44"/>
          <w:szCs w:val="44"/>
        </w:rPr>
      </w:pPr>
    </w:p>
    <w:sectPr>
      <w:footerReference r:id="rId3" w:type="default"/>
      <w:pgSz w:w="11906" w:h="16838"/>
      <w:pgMar w:top="1531" w:right="1304" w:bottom="1985"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10" w:usb3="00000000" w:csb0="000400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72005124"/>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C21480"/>
    <w:rsid w:val="00197560"/>
    <w:rsid w:val="00260400"/>
    <w:rsid w:val="00371B19"/>
    <w:rsid w:val="005049A7"/>
    <w:rsid w:val="00597E3B"/>
    <w:rsid w:val="005B4145"/>
    <w:rsid w:val="00670EF8"/>
    <w:rsid w:val="006820DA"/>
    <w:rsid w:val="007105A6"/>
    <w:rsid w:val="007546EE"/>
    <w:rsid w:val="00776BA0"/>
    <w:rsid w:val="007F56AB"/>
    <w:rsid w:val="00823404"/>
    <w:rsid w:val="0083069E"/>
    <w:rsid w:val="009233A2"/>
    <w:rsid w:val="0092512F"/>
    <w:rsid w:val="00A214B6"/>
    <w:rsid w:val="00AC3C4B"/>
    <w:rsid w:val="00BD54AF"/>
    <w:rsid w:val="00BF1BC1"/>
    <w:rsid w:val="00C075F5"/>
    <w:rsid w:val="00C16CD6"/>
    <w:rsid w:val="00D76BA0"/>
    <w:rsid w:val="00E435B7"/>
    <w:rsid w:val="00FD07F5"/>
    <w:rsid w:val="025C4065"/>
    <w:rsid w:val="03E93EBC"/>
    <w:rsid w:val="1A3B05A4"/>
    <w:rsid w:val="2277503E"/>
    <w:rsid w:val="2CFB6518"/>
    <w:rsid w:val="342B0466"/>
    <w:rsid w:val="37C94AB6"/>
    <w:rsid w:val="3AC21480"/>
    <w:rsid w:val="3C65556B"/>
    <w:rsid w:val="42A81CD3"/>
    <w:rsid w:val="48BD4107"/>
    <w:rsid w:val="4A7A4CF5"/>
    <w:rsid w:val="50A10CDA"/>
    <w:rsid w:val="53B2789B"/>
    <w:rsid w:val="5A840C19"/>
    <w:rsid w:val="62783A51"/>
    <w:rsid w:val="78366D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16"/>
    <w:uiPriority w:val="0"/>
    <w:rPr>
      <w:sz w:val="18"/>
      <w:szCs w:val="18"/>
    </w:rPr>
  </w:style>
  <w:style w:type="paragraph" w:styleId="3">
    <w:name w:val="footer"/>
    <w:basedOn w:val="1"/>
    <w:link w:val="15"/>
    <w:uiPriority w:val="99"/>
    <w:pPr>
      <w:tabs>
        <w:tab w:val="center" w:pos="4153"/>
        <w:tab w:val="right" w:pos="8306"/>
      </w:tabs>
      <w:snapToGrid w:val="0"/>
      <w:jc w:val="left"/>
    </w:pPr>
    <w:rPr>
      <w:sz w:val="18"/>
      <w:szCs w:val="18"/>
    </w:rPr>
  </w:style>
  <w:style w:type="paragraph" w:styleId="4">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font11"/>
    <w:basedOn w:val="7"/>
    <w:qFormat/>
    <w:uiPriority w:val="0"/>
    <w:rPr>
      <w:rFonts w:hint="eastAsia" w:ascii="宋体" w:hAnsi="宋体" w:eastAsia="宋体" w:cs="宋体"/>
      <w:color w:val="000000"/>
      <w:sz w:val="22"/>
      <w:szCs w:val="22"/>
      <w:u w:val="none"/>
    </w:rPr>
  </w:style>
  <w:style w:type="character" w:customStyle="1" w:styleId="9">
    <w:name w:val="font01"/>
    <w:basedOn w:val="7"/>
    <w:qFormat/>
    <w:uiPriority w:val="0"/>
    <w:rPr>
      <w:rFonts w:hint="eastAsia" w:ascii="宋体" w:hAnsi="宋体" w:eastAsia="宋体" w:cs="宋体"/>
      <w:b/>
      <w:color w:val="000000"/>
      <w:sz w:val="22"/>
      <w:szCs w:val="22"/>
      <w:u w:val="none"/>
    </w:rPr>
  </w:style>
  <w:style w:type="character" w:customStyle="1" w:styleId="10">
    <w:name w:val="font41"/>
    <w:basedOn w:val="7"/>
    <w:qFormat/>
    <w:uiPriority w:val="0"/>
    <w:rPr>
      <w:rFonts w:hint="eastAsia" w:ascii="宋体" w:hAnsi="宋体" w:eastAsia="宋体" w:cs="宋体"/>
      <w:color w:val="000000"/>
      <w:sz w:val="18"/>
      <w:szCs w:val="18"/>
      <w:u w:val="none"/>
    </w:rPr>
  </w:style>
  <w:style w:type="character" w:customStyle="1" w:styleId="11">
    <w:name w:val="font21"/>
    <w:basedOn w:val="7"/>
    <w:qFormat/>
    <w:uiPriority w:val="0"/>
    <w:rPr>
      <w:rFonts w:hint="eastAsia" w:ascii="宋体" w:hAnsi="宋体" w:eastAsia="宋体" w:cs="宋体"/>
      <w:b/>
      <w:color w:val="000000"/>
      <w:sz w:val="18"/>
      <w:szCs w:val="18"/>
      <w:u w:val="none"/>
    </w:rPr>
  </w:style>
  <w:style w:type="character" w:customStyle="1" w:styleId="12">
    <w:name w:val="NormalCharacter"/>
    <w:semiHidden/>
    <w:qFormat/>
    <w:uiPriority w:val="0"/>
    <w:rPr>
      <w:rFonts w:asciiTheme="minorHAnsi" w:hAnsiTheme="minorHAnsi" w:eastAsiaTheme="minorEastAsia" w:cstheme="minorBidi"/>
      <w:kern w:val="2"/>
      <w:sz w:val="21"/>
      <w:szCs w:val="24"/>
      <w:lang w:val="en-US" w:eastAsia="zh-CN" w:bidi="ar-SA"/>
    </w:rPr>
  </w:style>
  <w:style w:type="character" w:customStyle="1" w:styleId="13">
    <w:name w:val="font31"/>
    <w:basedOn w:val="7"/>
    <w:qFormat/>
    <w:uiPriority w:val="0"/>
    <w:rPr>
      <w:rFonts w:hint="eastAsia" w:ascii="宋体" w:hAnsi="宋体" w:eastAsia="宋体" w:cs="宋体"/>
      <w:b/>
      <w:color w:val="000000"/>
      <w:sz w:val="18"/>
      <w:szCs w:val="18"/>
      <w:u w:val="none"/>
    </w:rPr>
  </w:style>
  <w:style w:type="character" w:customStyle="1" w:styleId="14">
    <w:name w:val="页眉 Char"/>
    <w:basedOn w:val="7"/>
    <w:link w:val="4"/>
    <w:qFormat/>
    <w:uiPriority w:val="0"/>
    <w:rPr>
      <w:rFonts w:asciiTheme="minorHAnsi" w:hAnsiTheme="minorHAnsi" w:eastAsiaTheme="minorEastAsia" w:cstheme="minorBidi"/>
      <w:kern w:val="2"/>
      <w:sz w:val="18"/>
      <w:szCs w:val="18"/>
    </w:rPr>
  </w:style>
  <w:style w:type="character" w:customStyle="1" w:styleId="15">
    <w:name w:val="页脚 Char"/>
    <w:basedOn w:val="7"/>
    <w:link w:val="3"/>
    <w:qFormat/>
    <w:uiPriority w:val="99"/>
    <w:rPr>
      <w:rFonts w:asciiTheme="minorHAnsi" w:hAnsiTheme="minorHAnsi" w:eastAsiaTheme="minorEastAsia" w:cstheme="minorBidi"/>
      <w:kern w:val="2"/>
      <w:sz w:val="18"/>
      <w:szCs w:val="18"/>
    </w:rPr>
  </w:style>
  <w:style w:type="character" w:customStyle="1" w:styleId="16">
    <w:name w:val="批注框文本 Char"/>
    <w:basedOn w:val="7"/>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223</Words>
  <Characters>1273</Characters>
  <Lines>10</Lines>
  <Paragraphs>2</Paragraphs>
  <TotalTime>7</TotalTime>
  <ScaleCrop>false</ScaleCrop>
  <LinksUpToDate>false</LinksUpToDate>
  <CharactersWithSpaces>1494</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2020-02-18T09:36:00Z</dcterms:created>
  <dc:creator>Administrator</dc:creator>
  <cp:lastModifiedBy>郑川春</cp:lastModifiedBy>
  <cp:lastPrinted>2021-01-15T01:35:00Z</cp:lastPrinted>
  <dcterms:modified xsi:type="dcterms:W3CDTF">2021-01-20T06:48:56Z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